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95A" w:rsidRPr="00C40BD9" w:rsidRDefault="00BB595A" w:rsidP="00BB595A">
      <w:pPr>
        <w:pStyle w:val="Bezodstpw"/>
        <w:rPr>
          <w:rFonts w:ascii="Arial" w:hAnsi="Arial" w:cs="Arial"/>
          <w:b/>
          <w:sz w:val="20"/>
          <w:szCs w:val="20"/>
        </w:rPr>
      </w:pPr>
      <w:r w:rsidRPr="00C40BD9">
        <w:rPr>
          <w:rFonts w:ascii="Arial" w:hAnsi="Arial" w:cs="Arial"/>
          <w:b/>
          <w:sz w:val="20"/>
          <w:szCs w:val="20"/>
        </w:rPr>
        <w:t xml:space="preserve">1/4. </w:t>
      </w:r>
      <w:r w:rsidRPr="00C40BD9">
        <w:rPr>
          <w:rFonts w:ascii="Arial" w:hAnsi="Arial" w:cs="Arial"/>
          <w:b/>
          <w:sz w:val="20"/>
          <w:szCs w:val="20"/>
        </w:rPr>
        <w:tab/>
      </w:r>
      <w:r w:rsidRPr="00C40BD9">
        <w:rPr>
          <w:rFonts w:ascii="Arial" w:hAnsi="Arial" w:cs="Arial"/>
          <w:b/>
          <w:sz w:val="20"/>
          <w:szCs w:val="20"/>
        </w:rPr>
        <w:tab/>
        <w:t>ROBOTY TYNKARSKIE</w:t>
      </w:r>
    </w:p>
    <w:p w:rsidR="00BB595A" w:rsidRPr="00C40BD9" w:rsidRDefault="00BB595A" w:rsidP="00BB595A">
      <w:pPr>
        <w:pStyle w:val="Bezodstpw"/>
        <w:rPr>
          <w:rFonts w:ascii="Arial" w:hAnsi="Arial" w:cs="Arial"/>
          <w:b/>
          <w:sz w:val="20"/>
          <w:szCs w:val="20"/>
        </w:rPr>
      </w:pPr>
      <w:r w:rsidRPr="00C40BD9">
        <w:rPr>
          <w:rFonts w:ascii="Arial" w:hAnsi="Arial" w:cs="Arial"/>
          <w:b/>
          <w:sz w:val="20"/>
          <w:szCs w:val="20"/>
        </w:rPr>
        <w:t xml:space="preserve">1.4.2. </w:t>
      </w:r>
      <w:r w:rsidRPr="00C40BD9">
        <w:rPr>
          <w:rFonts w:ascii="Arial" w:hAnsi="Arial" w:cs="Arial"/>
          <w:b/>
          <w:sz w:val="20"/>
          <w:szCs w:val="20"/>
        </w:rPr>
        <w:tab/>
      </w:r>
      <w:r w:rsidRPr="00C40BD9">
        <w:rPr>
          <w:rFonts w:ascii="Arial" w:hAnsi="Arial" w:cs="Arial"/>
          <w:b/>
          <w:sz w:val="20"/>
          <w:szCs w:val="20"/>
        </w:rPr>
        <w:tab/>
        <w:t>Naprawa skorodowanej cegły</w:t>
      </w:r>
    </w:p>
    <w:p w:rsidR="00BB595A" w:rsidRDefault="00BB595A" w:rsidP="00BB595A">
      <w:pPr>
        <w:pStyle w:val="Default"/>
        <w:rPr>
          <w:b/>
          <w:bCs/>
          <w:sz w:val="20"/>
          <w:szCs w:val="20"/>
        </w:rPr>
      </w:pPr>
    </w:p>
    <w:p w:rsidR="00617DB2" w:rsidRPr="00240DA9" w:rsidRDefault="00617DB2" w:rsidP="00617DB2">
      <w:pPr>
        <w:pStyle w:val="Bezodstpw"/>
        <w:rPr>
          <w:rFonts w:ascii="Arial" w:hAnsi="Arial" w:cs="Arial"/>
          <w:sz w:val="20"/>
          <w:szCs w:val="20"/>
        </w:rPr>
      </w:pPr>
      <w:r w:rsidRPr="00240DA9">
        <w:rPr>
          <w:rFonts w:ascii="Arial" w:hAnsi="Arial" w:cs="Arial"/>
          <w:sz w:val="20"/>
          <w:szCs w:val="20"/>
        </w:rPr>
        <w:t xml:space="preserve">Kody CPV- </w:t>
      </w:r>
      <w:r w:rsidRPr="00240DA9">
        <w:rPr>
          <w:rFonts w:ascii="Arial" w:hAnsi="Arial" w:cs="Arial"/>
          <w:i/>
          <w:sz w:val="20"/>
          <w:szCs w:val="20"/>
        </w:rPr>
        <w:t xml:space="preserve">45410000-4 </w:t>
      </w:r>
      <w:r w:rsidRPr="00240DA9">
        <w:rPr>
          <w:rFonts w:ascii="Arial" w:eastAsiaTheme="minorHAnsi" w:hAnsi="Arial" w:cs="Arial"/>
          <w:sz w:val="20"/>
          <w:szCs w:val="20"/>
          <w:lang w:eastAsia="en-US"/>
        </w:rPr>
        <w:t>Tynkowanie</w:t>
      </w:r>
    </w:p>
    <w:p w:rsidR="00617DB2" w:rsidRPr="00C40BD9" w:rsidRDefault="00617DB2" w:rsidP="00BB595A">
      <w:pPr>
        <w:pStyle w:val="Default"/>
        <w:rPr>
          <w:b/>
          <w:bCs/>
          <w:sz w:val="20"/>
          <w:szCs w:val="20"/>
        </w:rPr>
      </w:pPr>
      <w:bookmarkStart w:id="0" w:name="_GoBack"/>
      <w:bookmarkEnd w:id="0"/>
    </w:p>
    <w:p w:rsidR="00BB595A" w:rsidRDefault="00BB595A" w:rsidP="00BB595A">
      <w:pPr>
        <w:spacing w:line="360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1. </w:t>
      </w:r>
      <w:r>
        <w:rPr>
          <w:rFonts w:ascii="Arial" w:hAnsi="Arial" w:cs="Arial"/>
          <w:b/>
          <w:sz w:val="20"/>
          <w:u w:val="single"/>
        </w:rPr>
        <w:t>WSTĘP</w:t>
      </w:r>
    </w:p>
    <w:p w:rsidR="00BB595A" w:rsidRDefault="00BB595A" w:rsidP="00BB595A">
      <w:pPr>
        <w:spacing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1.1.Przedmiot ST</w:t>
      </w:r>
      <w:r>
        <w:rPr>
          <w:rFonts w:ascii="Arial" w:hAnsi="Arial" w:cs="Arial"/>
          <w:sz w:val="20"/>
        </w:rPr>
        <w:t xml:space="preserve"> </w:t>
      </w:r>
    </w:p>
    <w:p w:rsidR="00BB595A" w:rsidRPr="00C40BD9" w:rsidRDefault="00BB595A" w:rsidP="00BB595A">
      <w:pPr>
        <w:pStyle w:val="CM26"/>
        <w:spacing w:line="271" w:lineRule="atLeast"/>
        <w:ind w:left="268" w:hanging="267"/>
        <w:rPr>
          <w:b/>
          <w:bCs/>
          <w:color w:val="000000"/>
          <w:sz w:val="20"/>
          <w:szCs w:val="20"/>
        </w:rPr>
      </w:pPr>
      <w:r>
        <w:rPr>
          <w:sz w:val="20"/>
        </w:rPr>
        <w:t xml:space="preserve">Przedmiotem niniejszej specyfikacji technicznej są wymagania dotyczące wykonania i odbioru robót-naprawy skorodowanej cegły.  </w:t>
      </w:r>
    </w:p>
    <w:p w:rsidR="00BB595A" w:rsidRPr="00C40BD9" w:rsidRDefault="00BB595A" w:rsidP="00BB595A">
      <w:pPr>
        <w:spacing w:before="20" w:after="40" w:line="240" w:lineRule="exact"/>
        <w:ind w:firstLine="284"/>
        <w:jc w:val="both"/>
        <w:rPr>
          <w:rFonts w:ascii="Arial" w:hAnsi="Arial" w:cs="Arial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>Specyfikacja dotyczy wykonania czynności podstawowych i dodatkowych, mających na celu wykonanie naprawę skorodowanej cegły, cechujących się dyfuzyjnością. Specyfikacja uwzględnia zastosowanie następujących materiałów:</w:t>
      </w:r>
    </w:p>
    <w:p w:rsidR="00BB595A" w:rsidRPr="00C40BD9" w:rsidRDefault="00BB595A" w:rsidP="00BB595A">
      <w:pPr>
        <w:numPr>
          <w:ilvl w:val="0"/>
          <w:numId w:val="1"/>
        </w:numPr>
        <w:spacing w:before="20" w:after="40" w:line="240" w:lineRule="exact"/>
        <w:jc w:val="both"/>
        <w:rPr>
          <w:rFonts w:ascii="Arial" w:hAnsi="Arial" w:cs="Arial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>Mineralna, sucha zaprawa naprawcza z hydraulicznym spoiwem</w:t>
      </w:r>
    </w:p>
    <w:p w:rsidR="00BB595A" w:rsidRPr="007B38F7" w:rsidRDefault="00BB595A" w:rsidP="00BB595A">
      <w:pPr>
        <w:spacing w:line="240" w:lineRule="auto"/>
        <w:jc w:val="both"/>
        <w:rPr>
          <w:rFonts w:ascii="Arial" w:hAnsi="Arial" w:cs="Arial"/>
          <w:sz w:val="20"/>
        </w:rPr>
      </w:pPr>
    </w:p>
    <w:p w:rsidR="00BB595A" w:rsidRDefault="00BB595A" w:rsidP="00BB595A">
      <w:pPr>
        <w:spacing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1.2.Zakres stosowania ST</w:t>
      </w:r>
    </w:p>
    <w:p w:rsidR="00BB595A" w:rsidRDefault="00BB595A" w:rsidP="00BB595A">
      <w:pPr>
        <w:spacing w:line="240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Specyfikacja techniczna jest stosowana jako dokument przy realizacji robót wymienionych w pkt.1.1.</w:t>
      </w:r>
    </w:p>
    <w:p w:rsidR="00BB595A" w:rsidRDefault="00BB595A" w:rsidP="00BB595A">
      <w:pPr>
        <w:spacing w:line="240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1.3.Zakres robót objętych ST</w:t>
      </w:r>
    </w:p>
    <w:p w:rsidR="00BB595A" w:rsidRPr="00465A4B" w:rsidRDefault="00BB595A" w:rsidP="00BB595A">
      <w:pPr>
        <w:spacing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Roboty, których dotyczy specyfikacja, obejmują wszystkie czynności umożliwiające i mające na celu naprawy skorodowanej cegły.  </w:t>
      </w:r>
    </w:p>
    <w:p w:rsidR="00BB595A" w:rsidRPr="007B38F7" w:rsidRDefault="00BB595A" w:rsidP="00BB595A">
      <w:pPr>
        <w:spacing w:line="24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1.4.</w:t>
      </w:r>
      <w:r w:rsidRPr="007B38F7">
        <w:rPr>
          <w:rFonts w:ascii="Arial" w:hAnsi="Arial" w:cs="Arial"/>
          <w:b/>
          <w:bCs/>
          <w:color w:val="000000"/>
          <w:sz w:val="20"/>
          <w:szCs w:val="20"/>
        </w:rPr>
        <w:t>Określenia podstawowe, definicje</w:t>
      </w:r>
      <w:r w:rsidRPr="00C40BD9">
        <w:rPr>
          <w:b/>
          <w:bCs/>
          <w:color w:val="000000"/>
          <w:sz w:val="20"/>
          <w:szCs w:val="20"/>
        </w:rPr>
        <w:t xml:space="preserve"> </w:t>
      </w:r>
    </w:p>
    <w:p w:rsidR="00BB595A" w:rsidRPr="00465A4B" w:rsidRDefault="00BB595A" w:rsidP="00BB595A">
      <w:pPr>
        <w:pStyle w:val="CM26"/>
        <w:spacing w:after="0"/>
        <w:rPr>
          <w:color w:val="000000"/>
          <w:sz w:val="20"/>
          <w:szCs w:val="20"/>
        </w:rPr>
      </w:pPr>
      <w:r w:rsidRPr="00465A4B">
        <w:rPr>
          <w:bCs/>
          <w:color w:val="000000"/>
          <w:sz w:val="20"/>
          <w:szCs w:val="20"/>
        </w:rPr>
        <w:t xml:space="preserve">Podłoże </w:t>
      </w:r>
      <w:r w:rsidRPr="00465A4B">
        <w:rPr>
          <w:color w:val="000000"/>
          <w:sz w:val="20"/>
          <w:szCs w:val="20"/>
        </w:rPr>
        <w:t xml:space="preserve">– przegroda (ściana, mur), na której ma być wykonany system tynków renowacyjnych </w:t>
      </w:r>
    </w:p>
    <w:p w:rsidR="00BB595A" w:rsidRPr="00465A4B" w:rsidRDefault="00BB595A" w:rsidP="00BB595A">
      <w:pPr>
        <w:pStyle w:val="CM29"/>
        <w:spacing w:after="0"/>
        <w:rPr>
          <w:sz w:val="20"/>
          <w:szCs w:val="20"/>
        </w:rPr>
      </w:pPr>
      <w:r w:rsidRPr="00465A4B">
        <w:rPr>
          <w:bCs/>
          <w:sz w:val="20"/>
          <w:szCs w:val="20"/>
        </w:rPr>
        <w:t xml:space="preserve">Obrzutka – </w:t>
      </w:r>
      <w:r w:rsidRPr="00465A4B">
        <w:rPr>
          <w:sz w:val="20"/>
          <w:szCs w:val="20"/>
        </w:rPr>
        <w:t>warstwa systemowej zaprawy nakładana na podłoże w celu poprawienia przyczepności kolejnych warstw systemu tynków renowacyjnych (tynku podkładowego lub tynku renowacyjnego)</w:t>
      </w:r>
    </w:p>
    <w:p w:rsidR="00BB595A" w:rsidRDefault="00BB595A" w:rsidP="00BB595A">
      <w:pPr>
        <w:pStyle w:val="CM29"/>
        <w:spacing w:after="0"/>
        <w:rPr>
          <w:sz w:val="20"/>
          <w:szCs w:val="20"/>
        </w:rPr>
      </w:pPr>
      <w:r w:rsidRPr="00465A4B">
        <w:rPr>
          <w:bCs/>
          <w:sz w:val="20"/>
          <w:szCs w:val="20"/>
        </w:rPr>
        <w:t xml:space="preserve">Zaprawa naprawcza </w:t>
      </w:r>
      <w:r w:rsidRPr="00465A4B">
        <w:rPr>
          <w:sz w:val="20"/>
          <w:szCs w:val="20"/>
        </w:rPr>
        <w:t xml:space="preserve">- </w:t>
      </w:r>
      <w:r w:rsidRPr="00465A4B">
        <w:rPr>
          <w:bCs/>
          <w:sz w:val="20"/>
          <w:szCs w:val="20"/>
        </w:rPr>
        <w:t xml:space="preserve">sucha (fabrycznie przygotowana) </w:t>
      </w:r>
      <w:r w:rsidRPr="00465A4B">
        <w:rPr>
          <w:sz w:val="20"/>
          <w:szCs w:val="20"/>
        </w:rPr>
        <w:t xml:space="preserve">mieszanka zaprawy tynkarskiej, po związaniu porowata, dyfuzyjna. </w:t>
      </w:r>
    </w:p>
    <w:p w:rsidR="00BB595A" w:rsidRPr="00465A4B" w:rsidRDefault="00BB595A" w:rsidP="00BB595A">
      <w:pPr>
        <w:pStyle w:val="Default"/>
      </w:pPr>
    </w:p>
    <w:p w:rsidR="00BB595A" w:rsidRDefault="00BB595A" w:rsidP="00BB595A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1.5.Ogólne wymagania dotyczące robót</w:t>
      </w:r>
    </w:p>
    <w:p w:rsidR="00BB595A" w:rsidRDefault="00BB595A" w:rsidP="00BB595A">
      <w:pPr>
        <w:pStyle w:val="Tekstpodstawowywcity"/>
        <w:ind w:left="0"/>
        <w:jc w:val="both"/>
        <w:rPr>
          <w:rFonts w:ascii="Arial" w:hAnsi="Arial" w:cs="Arial"/>
          <w:b/>
          <w:i/>
          <w:iCs/>
          <w:sz w:val="20"/>
        </w:rPr>
      </w:pPr>
      <w:r>
        <w:rPr>
          <w:rFonts w:ascii="Arial" w:hAnsi="Arial" w:cs="Arial"/>
          <w:sz w:val="20"/>
        </w:rPr>
        <w:t xml:space="preserve">Wykonawca robót jest odpowiedzialny za jakość ich wykonania oraz za zgodność z dokumentacją projektów, ST i poleceniami Inżyniera. </w:t>
      </w:r>
    </w:p>
    <w:p w:rsidR="00BB595A" w:rsidRDefault="00BB595A" w:rsidP="00BB595A">
      <w:pPr>
        <w:spacing w:line="360" w:lineRule="auto"/>
        <w:jc w:val="both"/>
        <w:rPr>
          <w:rFonts w:ascii="Arial" w:hAnsi="Arial" w:cs="Arial"/>
          <w:b/>
          <w:i/>
          <w:iCs/>
          <w:sz w:val="20"/>
        </w:rPr>
      </w:pPr>
      <w:r w:rsidRPr="00BB5505">
        <w:rPr>
          <w:rFonts w:ascii="Arial" w:hAnsi="Arial" w:cs="Arial"/>
          <w:b/>
          <w:i/>
          <w:iCs/>
          <w:sz w:val="20"/>
        </w:rPr>
        <w:t>1.5.1.Wymogi formalne</w:t>
      </w:r>
    </w:p>
    <w:p w:rsidR="00BB595A" w:rsidRPr="002B02BD" w:rsidRDefault="00BB595A" w:rsidP="00BB595A">
      <w:pPr>
        <w:spacing w:line="240" w:lineRule="auto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</w:rPr>
        <w:t>Wykonanie robót murowych winno być zlecone przedsiębiorstwu mającemu właściwe doświadczenie w realizacji tego typu robót i gwarantującemu właściwą jakość wykonania. Roboty murowe winny być wykonane ściśle wg dokumentacji technicznej.</w:t>
      </w:r>
    </w:p>
    <w:p w:rsidR="00BB595A" w:rsidRDefault="00BB595A" w:rsidP="00BB595A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i/>
          <w:iCs/>
          <w:sz w:val="20"/>
        </w:rPr>
        <w:t>1.5.2.Warunki organizacyjne</w:t>
      </w:r>
    </w:p>
    <w:p w:rsidR="00BB595A" w:rsidRPr="00C40BD9" w:rsidRDefault="00BB595A" w:rsidP="00BB595A">
      <w:pPr>
        <w:pStyle w:val="Tekstpodstawowywcity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Przed przystąpieniem do robót wykonawcy oraz nadzór techniczny winny się dokładnie zaznajomić z całością dokumentacji technicznej, w tym także i z pozostałymi odrębnymi częściami dokumentacji (dotyczy to zwłaszcza projektu organizacji robót). </w:t>
      </w:r>
      <w:r w:rsidRPr="00BB5505">
        <w:rPr>
          <w:rFonts w:ascii="Arial" w:hAnsi="Arial" w:cs="Arial"/>
          <w:sz w:val="20"/>
        </w:rPr>
        <w:t>Wszelkie ewentualne niejasności w sprawach dokumentacji należy wyjaśnić z autorami poszczególnych opracowań.</w:t>
      </w:r>
      <w:r>
        <w:rPr>
          <w:rFonts w:ascii="Arial" w:hAnsi="Arial" w:cs="Arial"/>
          <w:sz w:val="20"/>
        </w:rPr>
        <w:t xml:space="preserve"> </w:t>
      </w:r>
      <w:r w:rsidRPr="00C40BD9">
        <w:rPr>
          <w:rFonts w:ascii="Arial" w:hAnsi="Arial" w:cs="Arial"/>
          <w:sz w:val="20"/>
          <w:szCs w:val="20"/>
        </w:rPr>
        <w:t xml:space="preserve">Specyfikacja dotyczy wykonania czynności podstawowych i dodatkowych, mających na celu wykonanie naprawę skorodowanej cegły, cechujących się dyfuzyjnością. </w:t>
      </w:r>
    </w:p>
    <w:p w:rsidR="00BB595A" w:rsidRPr="00C40BD9" w:rsidRDefault="00BB595A" w:rsidP="00BB595A">
      <w:pPr>
        <w:pStyle w:val="Default"/>
        <w:rPr>
          <w:b/>
          <w:bCs/>
          <w:sz w:val="20"/>
          <w:szCs w:val="20"/>
        </w:rPr>
      </w:pPr>
    </w:p>
    <w:p w:rsidR="00BB595A" w:rsidRPr="007B38F7" w:rsidRDefault="00BB595A" w:rsidP="00BB595A">
      <w:pPr>
        <w:pStyle w:val="Default"/>
        <w:rPr>
          <w:sz w:val="20"/>
          <w:szCs w:val="20"/>
          <w:u w:val="single"/>
        </w:rPr>
      </w:pPr>
      <w:r w:rsidRPr="007B38F7">
        <w:rPr>
          <w:b/>
          <w:bCs/>
          <w:sz w:val="20"/>
          <w:szCs w:val="20"/>
          <w:u w:val="single"/>
        </w:rPr>
        <w:t xml:space="preserve">2. WYMAGANIA DOTYCZĄCE WŁAŚCIWOŚCI MATERIAŁÓW </w:t>
      </w:r>
    </w:p>
    <w:p w:rsidR="00BB595A" w:rsidRPr="00C40BD9" w:rsidRDefault="00BB595A" w:rsidP="00BB595A">
      <w:pPr>
        <w:tabs>
          <w:tab w:val="left" w:pos="709"/>
          <w:tab w:val="right" w:leader="dot" w:pos="9072"/>
        </w:tabs>
        <w:spacing w:before="20" w:after="40" w:line="240" w:lineRule="exact"/>
        <w:jc w:val="both"/>
        <w:rPr>
          <w:rFonts w:ascii="Arial" w:hAnsi="Arial" w:cs="Arial"/>
          <w:color w:val="FF0000"/>
          <w:spacing w:val="-2"/>
          <w:sz w:val="20"/>
          <w:szCs w:val="20"/>
        </w:rPr>
      </w:pPr>
    </w:p>
    <w:p w:rsidR="00BB595A" w:rsidRPr="00C40BD9" w:rsidRDefault="00BB595A" w:rsidP="00BB595A">
      <w:pPr>
        <w:pStyle w:val="CM26"/>
        <w:ind w:left="570" w:hanging="570"/>
        <w:jc w:val="both"/>
        <w:rPr>
          <w:rStyle w:val="FontStyle21"/>
          <w:b w:val="0"/>
          <w:sz w:val="20"/>
          <w:szCs w:val="20"/>
        </w:rPr>
      </w:pPr>
      <w:r w:rsidRPr="002B02BD">
        <w:rPr>
          <w:rStyle w:val="FontStyle21"/>
          <w:b w:val="0"/>
          <w:sz w:val="20"/>
          <w:szCs w:val="20"/>
        </w:rPr>
        <w:lastRenderedPageBreak/>
        <w:t xml:space="preserve"> </w:t>
      </w:r>
      <w:r w:rsidRPr="002B02BD">
        <w:rPr>
          <w:rStyle w:val="FontStyle21"/>
          <w:sz w:val="20"/>
          <w:szCs w:val="20"/>
        </w:rPr>
        <w:t>Mineralna obrzutka</w:t>
      </w:r>
      <w:r w:rsidRPr="00C40BD9">
        <w:rPr>
          <w:rStyle w:val="FontStyle21"/>
          <w:b w:val="0"/>
          <w:sz w:val="20"/>
          <w:szCs w:val="20"/>
        </w:rPr>
        <w:t xml:space="preserve"> (warstwą </w:t>
      </w:r>
      <w:proofErr w:type="spellStart"/>
      <w:r w:rsidRPr="00C40BD9">
        <w:rPr>
          <w:rStyle w:val="FontStyle21"/>
          <w:b w:val="0"/>
          <w:sz w:val="20"/>
          <w:szCs w:val="20"/>
        </w:rPr>
        <w:t>szczepną</w:t>
      </w:r>
      <w:proofErr w:type="spellEnd"/>
      <w:r w:rsidRPr="00C40BD9">
        <w:rPr>
          <w:rStyle w:val="FontStyle21"/>
          <w:b w:val="0"/>
          <w:sz w:val="20"/>
          <w:szCs w:val="20"/>
        </w:rPr>
        <w:t xml:space="preserve">) pod system tynków renowacyjnych. Może być stosowana na każdym typowym podłożu mineralnym.  </w:t>
      </w:r>
    </w:p>
    <w:p w:rsidR="00BB595A" w:rsidRPr="00C40BD9" w:rsidRDefault="00BB595A" w:rsidP="00BB595A">
      <w:pPr>
        <w:pStyle w:val="Style7"/>
        <w:widowControl/>
        <w:jc w:val="both"/>
        <w:rPr>
          <w:rStyle w:val="FontStyle21"/>
          <w:b w:val="0"/>
          <w:i/>
          <w:sz w:val="20"/>
          <w:szCs w:val="20"/>
        </w:rPr>
      </w:pPr>
    </w:p>
    <w:p w:rsidR="00BB595A" w:rsidRPr="00C40BD9" w:rsidRDefault="00BB595A" w:rsidP="00BB595A">
      <w:pPr>
        <w:pStyle w:val="Style7"/>
        <w:widowControl/>
        <w:jc w:val="both"/>
        <w:rPr>
          <w:rStyle w:val="FontStyle21"/>
          <w:b w:val="0"/>
          <w:i/>
          <w:sz w:val="20"/>
          <w:szCs w:val="20"/>
        </w:rPr>
      </w:pPr>
      <w:r w:rsidRPr="00C40BD9">
        <w:rPr>
          <w:rStyle w:val="FontStyle21"/>
          <w:b w:val="0"/>
          <w:i/>
          <w:sz w:val="20"/>
          <w:szCs w:val="20"/>
        </w:rPr>
        <w:t>Właściwości produktu:</w:t>
      </w:r>
    </w:p>
    <w:p w:rsidR="00BB595A" w:rsidRPr="00C40BD9" w:rsidRDefault="00BB595A" w:rsidP="00BB595A">
      <w:pPr>
        <w:pStyle w:val="Style8"/>
        <w:widowControl/>
        <w:numPr>
          <w:ilvl w:val="0"/>
          <w:numId w:val="2"/>
        </w:numPr>
        <w:tabs>
          <w:tab w:val="left" w:pos="106"/>
        </w:tabs>
        <w:spacing w:line="235" w:lineRule="exact"/>
        <w:rPr>
          <w:rStyle w:val="FontStyle14"/>
          <w:b w:val="0"/>
          <w:bCs w:val="0"/>
          <w:sz w:val="20"/>
          <w:szCs w:val="20"/>
        </w:rPr>
      </w:pPr>
      <w:r w:rsidRPr="00C40BD9">
        <w:rPr>
          <w:rStyle w:val="FontStyle16"/>
          <w:sz w:val="20"/>
          <w:szCs w:val="20"/>
        </w:rPr>
        <w:t>gwarantuje pewne łączenie między tynkiem i podłożem</w:t>
      </w:r>
      <w:r w:rsidRPr="00C40BD9">
        <w:rPr>
          <w:rStyle w:val="FontStyle14"/>
          <w:sz w:val="20"/>
          <w:szCs w:val="20"/>
        </w:rPr>
        <w:t xml:space="preserve"> </w:t>
      </w:r>
    </w:p>
    <w:p w:rsidR="00BB595A" w:rsidRPr="00C40BD9" w:rsidRDefault="00BB595A" w:rsidP="00BB595A">
      <w:pPr>
        <w:pStyle w:val="Style8"/>
        <w:widowControl/>
        <w:numPr>
          <w:ilvl w:val="0"/>
          <w:numId w:val="2"/>
        </w:numPr>
        <w:tabs>
          <w:tab w:val="left" w:pos="106"/>
        </w:tabs>
        <w:spacing w:line="235" w:lineRule="exact"/>
        <w:jc w:val="both"/>
        <w:rPr>
          <w:rStyle w:val="FontStyle22"/>
          <w:sz w:val="20"/>
          <w:szCs w:val="20"/>
        </w:rPr>
      </w:pPr>
      <w:r w:rsidRPr="00C40BD9">
        <w:rPr>
          <w:rStyle w:val="FontStyle22"/>
          <w:sz w:val="20"/>
          <w:szCs w:val="20"/>
        </w:rPr>
        <w:t>możliwość nakładania ręcznego i natryskowego.</w:t>
      </w:r>
    </w:p>
    <w:p w:rsidR="00BB595A" w:rsidRPr="00C40BD9" w:rsidRDefault="00BB595A" w:rsidP="00BB595A">
      <w:pPr>
        <w:pStyle w:val="Default"/>
        <w:rPr>
          <w:sz w:val="20"/>
          <w:szCs w:val="20"/>
        </w:rPr>
      </w:pPr>
    </w:p>
    <w:p w:rsidR="00BB595A" w:rsidRPr="002B02BD" w:rsidRDefault="00BB595A" w:rsidP="00BB595A">
      <w:pPr>
        <w:pStyle w:val="Style7"/>
        <w:jc w:val="both"/>
        <w:rPr>
          <w:rStyle w:val="FontStyle21"/>
          <w:sz w:val="20"/>
          <w:szCs w:val="20"/>
        </w:rPr>
      </w:pPr>
      <w:r w:rsidRPr="002B02BD">
        <w:rPr>
          <w:rStyle w:val="FontStyle21"/>
          <w:sz w:val="20"/>
          <w:szCs w:val="20"/>
        </w:rPr>
        <w:t xml:space="preserve">Zaprawa naprawcza 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i/>
          <w:sz w:val="20"/>
          <w:szCs w:val="20"/>
        </w:rPr>
      </w:pP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i/>
          <w:sz w:val="20"/>
          <w:szCs w:val="20"/>
        </w:rPr>
      </w:pPr>
      <w:r w:rsidRPr="00C40BD9">
        <w:rPr>
          <w:rStyle w:val="FontStyle21"/>
          <w:b w:val="0"/>
          <w:i/>
          <w:sz w:val="20"/>
          <w:szCs w:val="20"/>
        </w:rPr>
        <w:t>Właściwości produktu</w:t>
      </w:r>
    </w:p>
    <w:p w:rsidR="00BB595A" w:rsidRPr="00C40BD9" w:rsidRDefault="00BB595A" w:rsidP="00BB595A">
      <w:pPr>
        <w:pStyle w:val="Style7"/>
        <w:jc w:val="both"/>
        <w:rPr>
          <w:rStyle w:val="FontStyle21"/>
          <w:i/>
          <w:sz w:val="20"/>
          <w:szCs w:val="20"/>
        </w:rPr>
      </w:pP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Gęstość nasypowa: ok. 1,40 g/cm3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Ilość potrzebnej wody: 0,13-0,16 L/kg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Czas stosowania: maks. 45 min.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Czas twardnienia: ok. 5 h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Wytrzymałość na ściskanie: ok. 10 N/mm2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Wytrzymałość na rozciąganie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przy zginaniu: ok. 4,1 N/mm2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 xml:space="preserve">• </w:t>
      </w:r>
      <w:proofErr w:type="spellStart"/>
      <w:r w:rsidRPr="00C40BD9">
        <w:rPr>
          <w:rStyle w:val="FontStyle21"/>
          <w:b w:val="0"/>
          <w:sz w:val="20"/>
          <w:szCs w:val="20"/>
        </w:rPr>
        <w:t>Współ</w:t>
      </w:r>
      <w:proofErr w:type="spellEnd"/>
      <w:r w:rsidRPr="00C40BD9">
        <w:rPr>
          <w:rStyle w:val="FontStyle21"/>
          <w:b w:val="0"/>
          <w:sz w:val="20"/>
          <w:szCs w:val="20"/>
        </w:rPr>
        <w:t>. sprężystości podłużnej ok. 9,0 KN/mm2</w:t>
      </w:r>
    </w:p>
    <w:p w:rsidR="00BB595A" w:rsidRPr="00C40BD9" w:rsidRDefault="00BB595A" w:rsidP="00BB595A">
      <w:pPr>
        <w:pStyle w:val="Style7"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 xml:space="preserve">• </w:t>
      </w:r>
      <w:proofErr w:type="spellStart"/>
      <w:r w:rsidRPr="00C40BD9">
        <w:rPr>
          <w:rStyle w:val="FontStyle21"/>
          <w:b w:val="0"/>
          <w:sz w:val="20"/>
          <w:szCs w:val="20"/>
        </w:rPr>
        <w:t>Współ</w:t>
      </w:r>
      <w:proofErr w:type="spellEnd"/>
      <w:r w:rsidRPr="00C40BD9">
        <w:rPr>
          <w:rStyle w:val="FontStyle21"/>
          <w:b w:val="0"/>
          <w:sz w:val="20"/>
          <w:szCs w:val="20"/>
        </w:rPr>
        <w:t>. rozszerzalności term. 7x10-6 (1/K)</w:t>
      </w:r>
    </w:p>
    <w:p w:rsidR="00BB595A" w:rsidRPr="00C40BD9" w:rsidRDefault="00BB595A" w:rsidP="00BB595A">
      <w:pPr>
        <w:pStyle w:val="Style7"/>
        <w:widowControl/>
        <w:jc w:val="both"/>
        <w:rPr>
          <w:rStyle w:val="FontStyle21"/>
          <w:b w:val="0"/>
          <w:sz w:val="20"/>
          <w:szCs w:val="20"/>
        </w:rPr>
      </w:pPr>
      <w:r w:rsidRPr="00C40BD9">
        <w:rPr>
          <w:rStyle w:val="FontStyle21"/>
          <w:b w:val="0"/>
          <w:sz w:val="20"/>
          <w:szCs w:val="20"/>
        </w:rPr>
        <w:t>• Pęcznienie w wodzie: 1,6 mm/m</w:t>
      </w:r>
    </w:p>
    <w:p w:rsidR="00BB595A" w:rsidRPr="00C40BD9" w:rsidRDefault="00BB595A" w:rsidP="00BB595A">
      <w:pPr>
        <w:pStyle w:val="Style7"/>
        <w:widowControl/>
        <w:jc w:val="both"/>
        <w:rPr>
          <w:rStyle w:val="FontStyle21"/>
          <w:b w:val="0"/>
          <w:sz w:val="20"/>
          <w:szCs w:val="20"/>
        </w:rPr>
      </w:pPr>
    </w:p>
    <w:p w:rsidR="00BB595A" w:rsidRPr="00C40BD9" w:rsidRDefault="00BB595A" w:rsidP="00BB595A">
      <w:pPr>
        <w:pStyle w:val="Style7"/>
        <w:widowControl/>
        <w:jc w:val="both"/>
        <w:rPr>
          <w:rStyle w:val="FontStyle21"/>
          <w:b w:val="0"/>
          <w:sz w:val="20"/>
          <w:szCs w:val="20"/>
        </w:rPr>
      </w:pPr>
    </w:p>
    <w:p w:rsidR="00BB595A" w:rsidRPr="00C40BD9" w:rsidRDefault="00BB595A" w:rsidP="00BB595A">
      <w:pPr>
        <w:tabs>
          <w:tab w:val="left" w:pos="709"/>
          <w:tab w:val="right" w:leader="dot" w:pos="9072"/>
        </w:tabs>
        <w:spacing w:before="40" w:after="40" w:line="24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C40BD9">
        <w:rPr>
          <w:rFonts w:ascii="Arial" w:hAnsi="Arial" w:cs="Arial"/>
          <w:b/>
          <w:bCs/>
          <w:color w:val="000000"/>
          <w:sz w:val="20"/>
          <w:szCs w:val="20"/>
        </w:rPr>
        <w:t xml:space="preserve">Woda </w:t>
      </w:r>
    </w:p>
    <w:p w:rsidR="00BB595A" w:rsidRPr="00C40BD9" w:rsidRDefault="00BB595A" w:rsidP="00BB595A">
      <w:pPr>
        <w:tabs>
          <w:tab w:val="left" w:pos="709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>Do prac związanych z przygotowaniem podłoża i materiałów zarabianych wodą stosować można wodę wodociągową, w przeciwnym wypadku woda musi spełniać wymagania normy PN-EN 1008:2004 Woda zarobowa do betonu. Specyfikacja pobierania próbek, badanie i ocena przydatności wody zarobowej do betonu, w tym wody odzyskanej z procesów produkcji betonu.</w:t>
      </w:r>
    </w:p>
    <w:p w:rsidR="00BB595A" w:rsidRPr="00C40BD9" w:rsidRDefault="00BB595A" w:rsidP="00BB59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B595A" w:rsidRPr="00C40BD9" w:rsidRDefault="00BB595A" w:rsidP="00BB59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B595A" w:rsidRPr="007B38F7" w:rsidRDefault="00BB595A" w:rsidP="00BB595A">
      <w:pPr>
        <w:pStyle w:val="CM26"/>
        <w:spacing w:line="271" w:lineRule="atLeast"/>
        <w:ind w:left="268" w:hanging="267"/>
        <w:rPr>
          <w:b/>
          <w:bCs/>
          <w:color w:val="000000"/>
          <w:sz w:val="20"/>
          <w:szCs w:val="20"/>
          <w:u w:val="single"/>
        </w:rPr>
      </w:pPr>
      <w:r>
        <w:rPr>
          <w:b/>
          <w:bCs/>
          <w:color w:val="000000"/>
          <w:sz w:val="20"/>
          <w:szCs w:val="20"/>
          <w:u w:val="single"/>
        </w:rPr>
        <w:t xml:space="preserve">3. </w:t>
      </w:r>
      <w:r w:rsidRPr="007B38F7">
        <w:rPr>
          <w:b/>
          <w:bCs/>
          <w:color w:val="000000"/>
          <w:sz w:val="20"/>
          <w:szCs w:val="20"/>
          <w:u w:val="single"/>
        </w:rPr>
        <w:t>SPRZĘT</w:t>
      </w:r>
    </w:p>
    <w:p w:rsidR="00BB595A" w:rsidRPr="00C40BD9" w:rsidRDefault="00BB595A" w:rsidP="00BB59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 xml:space="preserve">Wykonawca, do wykonywania prac iniekcyjnych powinien stosować następujący sprzęt i narzędzia: </w:t>
      </w:r>
    </w:p>
    <w:p w:rsidR="00BB595A" w:rsidRPr="00C40BD9" w:rsidRDefault="00BB595A" w:rsidP="00BB595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pacing w:val="-4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>−</w:t>
      </w:r>
      <w:r w:rsidRPr="00C40BD9">
        <w:rPr>
          <w:rFonts w:ascii="Arial" w:hAnsi="Arial" w:cs="Arial"/>
          <w:sz w:val="20"/>
          <w:szCs w:val="20"/>
        </w:rPr>
        <w:tab/>
        <w:t xml:space="preserve">do usunięcia zmurszałych i/lub niestabilnych wypraw tynkarskich (malarskich, itp.) oraz oceny i przygotowania podłoża – </w:t>
      </w:r>
      <w:r w:rsidRPr="00C40BD9">
        <w:rPr>
          <w:rFonts w:ascii="Arial" w:hAnsi="Arial" w:cs="Arial"/>
          <w:spacing w:val="-4"/>
          <w:sz w:val="20"/>
          <w:szCs w:val="20"/>
        </w:rPr>
        <w:t>młotki, młoty pneumatyczne, szczotki, szczotki druciane, szpachelki, urządzenia do mycia, wilgotnościomierze, higrometry, łaty, itp.</w:t>
      </w:r>
    </w:p>
    <w:p w:rsidR="00BB595A" w:rsidRPr="00C40BD9" w:rsidRDefault="00BB595A" w:rsidP="00BB595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>−</w:t>
      </w:r>
      <w:r w:rsidRPr="00C40BD9">
        <w:rPr>
          <w:rFonts w:ascii="Arial" w:hAnsi="Arial" w:cs="Arial"/>
          <w:sz w:val="20"/>
          <w:szCs w:val="20"/>
        </w:rPr>
        <w:tab/>
        <w:t xml:space="preserve">do przygotowania zapraw - mieszarka (wiertarka) wolnoobrotowa z mieszadłem koszyczkowym, betoniarka przeciwbieżna, waga, </w:t>
      </w:r>
    </w:p>
    <w:p w:rsidR="00BB595A" w:rsidRPr="00C40BD9" w:rsidRDefault="00BB595A" w:rsidP="00BB595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>−</w:t>
      </w:r>
      <w:r w:rsidRPr="00C40BD9">
        <w:rPr>
          <w:rFonts w:ascii="Arial" w:hAnsi="Arial" w:cs="Arial"/>
          <w:sz w:val="20"/>
          <w:szCs w:val="20"/>
        </w:rPr>
        <w:tab/>
        <w:t>do ręcznej aplikacji zapraw - zwykłe narzędzia tynkarskie (kielnia, paca)</w:t>
      </w:r>
    </w:p>
    <w:p w:rsidR="00BB595A" w:rsidRDefault="00BB595A" w:rsidP="00BB595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z w:val="20"/>
          <w:szCs w:val="20"/>
        </w:rPr>
      </w:pPr>
      <w:r w:rsidRPr="00C40BD9">
        <w:rPr>
          <w:rFonts w:ascii="Arial" w:hAnsi="Arial" w:cs="Arial"/>
          <w:sz w:val="20"/>
          <w:szCs w:val="20"/>
        </w:rPr>
        <w:t>−</w:t>
      </w:r>
      <w:r w:rsidRPr="00C40BD9">
        <w:rPr>
          <w:rFonts w:ascii="Arial" w:hAnsi="Arial" w:cs="Arial"/>
          <w:sz w:val="20"/>
          <w:szCs w:val="20"/>
        </w:rPr>
        <w:tab/>
        <w:t>do natryskowej aplikacji zapraw – typowe agregaty tynkarskie</w:t>
      </w:r>
    </w:p>
    <w:p w:rsidR="00BB595A" w:rsidRDefault="00BB595A" w:rsidP="00BB595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B595A" w:rsidRDefault="00BB595A" w:rsidP="00BB595A">
      <w:pPr>
        <w:spacing w:line="360" w:lineRule="auto"/>
        <w:jc w:val="both"/>
        <w:rPr>
          <w:rFonts w:ascii="Arial" w:hAnsi="Arial" w:cs="Arial"/>
          <w:color w:val="000000"/>
          <w:sz w:val="20"/>
          <w:u w:val="single"/>
        </w:rPr>
      </w:pPr>
      <w:r w:rsidRPr="007B38F7">
        <w:rPr>
          <w:rFonts w:ascii="Arial" w:hAnsi="Arial" w:cs="Arial"/>
          <w:b/>
          <w:sz w:val="20"/>
          <w:u w:val="single"/>
        </w:rPr>
        <w:t>4.TRANSPORT I MAGAZYNOWANIE</w:t>
      </w:r>
    </w:p>
    <w:p w:rsidR="00BB595A" w:rsidRPr="002B02BD" w:rsidRDefault="00BB595A" w:rsidP="00BB595A">
      <w:pPr>
        <w:spacing w:line="240" w:lineRule="auto"/>
        <w:jc w:val="both"/>
        <w:rPr>
          <w:rFonts w:ascii="Arial" w:hAnsi="Arial" w:cs="Arial"/>
          <w:color w:val="000000"/>
          <w:sz w:val="20"/>
          <w:u w:val="single"/>
        </w:rPr>
      </w:pPr>
      <w:r>
        <w:rPr>
          <w:rFonts w:ascii="Arial" w:hAnsi="Arial" w:cs="Arial"/>
          <w:color w:val="000000"/>
          <w:sz w:val="20"/>
        </w:rPr>
        <w:t xml:space="preserve">Ogólne wymagania dotyczące Transportu podano w „Wymagania ogólne”. Transport surowców wtórnych i gruzu powinien odbywać się specjalistycznym taborem samochodowym umożliwiającym szybki rozładunek. Przewożony urobek musi być w sposób całkowicie pewny zabezpieczony przed przemieszczaniem się, wysypywaniem lub spadnięciem ze skrzyni ładunkowej. Urobek nie może w czasie transportu wydzielać pyłu. </w:t>
      </w:r>
    </w:p>
    <w:p w:rsidR="00BB595A" w:rsidRDefault="00BB595A" w:rsidP="00BB595A">
      <w:pPr>
        <w:pStyle w:val="CM26"/>
        <w:spacing w:line="273" w:lineRule="atLeast"/>
        <w:jc w:val="both"/>
        <w:rPr>
          <w:b/>
          <w:bCs/>
          <w:color w:val="000000"/>
          <w:sz w:val="20"/>
          <w:szCs w:val="20"/>
          <w:u w:val="single"/>
        </w:rPr>
      </w:pPr>
      <w:r>
        <w:rPr>
          <w:b/>
          <w:bCs/>
          <w:color w:val="000000"/>
          <w:sz w:val="20"/>
          <w:szCs w:val="20"/>
          <w:u w:val="single"/>
        </w:rPr>
        <w:t xml:space="preserve">5. </w:t>
      </w:r>
      <w:r w:rsidRPr="007B38F7">
        <w:rPr>
          <w:b/>
          <w:bCs/>
          <w:color w:val="000000"/>
          <w:sz w:val="20"/>
          <w:szCs w:val="20"/>
          <w:u w:val="single"/>
        </w:rPr>
        <w:t xml:space="preserve">WYMAGANIA DOTYCZĄCE WYKONANIA ROBÓT </w:t>
      </w:r>
    </w:p>
    <w:p w:rsidR="00BB595A" w:rsidRPr="007B38F7" w:rsidRDefault="00BB595A" w:rsidP="00BB595A">
      <w:pPr>
        <w:pStyle w:val="Default"/>
      </w:pPr>
    </w:p>
    <w:p w:rsidR="00BB595A" w:rsidRPr="007B38F7" w:rsidRDefault="00BB595A" w:rsidP="00BB595A">
      <w:pPr>
        <w:pStyle w:val="CM26"/>
        <w:spacing w:after="0"/>
        <w:jc w:val="both"/>
        <w:rPr>
          <w:sz w:val="20"/>
          <w:szCs w:val="20"/>
        </w:rPr>
      </w:pPr>
      <w:r w:rsidRPr="007B38F7">
        <w:rPr>
          <w:b/>
          <w:bCs/>
          <w:sz w:val="20"/>
          <w:szCs w:val="20"/>
        </w:rPr>
        <w:t xml:space="preserve">1. Przygotowanie podłoża 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Stare, skorodowane części skuć. Usunąć luźne i niezwiązane cząstki, zmurszał</w:t>
      </w:r>
      <w:r>
        <w:rPr>
          <w:sz w:val="20"/>
          <w:szCs w:val="20"/>
        </w:rPr>
        <w:t xml:space="preserve">ą zaprawę i fragmenty muru. </w:t>
      </w:r>
      <w:r w:rsidRPr="00C40BD9">
        <w:rPr>
          <w:sz w:val="20"/>
          <w:szCs w:val="20"/>
        </w:rPr>
        <w:t>Powierzchnię oczyścić mechanicznie (np.</w:t>
      </w:r>
      <w:r w:rsidRPr="00C40BD9">
        <w:rPr>
          <w:rStyle w:val="FontStyle26"/>
          <w:sz w:val="20"/>
          <w:szCs w:val="20"/>
        </w:rPr>
        <w:t xml:space="preserve"> przy pomocy szczotki drucianej lub sprężonym powietrzem, spłukanie wodą, </w:t>
      </w:r>
      <w:proofErr w:type="spellStart"/>
      <w:r w:rsidRPr="00C40BD9">
        <w:rPr>
          <w:rStyle w:val="FontStyle26"/>
          <w:sz w:val="20"/>
          <w:szCs w:val="20"/>
        </w:rPr>
        <w:t>itp</w:t>
      </w:r>
      <w:proofErr w:type="spellEnd"/>
      <w:r w:rsidRPr="00C40BD9">
        <w:rPr>
          <w:rStyle w:val="FontStyle26"/>
          <w:sz w:val="20"/>
          <w:szCs w:val="20"/>
        </w:rPr>
        <w:t>)</w:t>
      </w:r>
      <w:r w:rsidRPr="00C40BD9">
        <w:rPr>
          <w:sz w:val="20"/>
          <w:szCs w:val="20"/>
        </w:rPr>
        <w:t xml:space="preserve">. 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Uszkodzony kamień naturalny, należy usunąć dłutem zębatym (gradziną) lub podobnym narzędziem aż do zdrowej warstwy. W szczególności płaskie powierzchnie kamienia naturalnego powinno się skuwać prostokątnie lub w kształcie ogona jaskółczego, na głębokość 2 cm, tak aby zaprawa</w:t>
      </w:r>
      <w:r>
        <w:rPr>
          <w:sz w:val="20"/>
          <w:szCs w:val="20"/>
        </w:rPr>
        <w:t xml:space="preserve"> </w:t>
      </w:r>
      <w:r w:rsidRPr="00C40BD9">
        <w:rPr>
          <w:sz w:val="20"/>
          <w:szCs w:val="20"/>
        </w:rPr>
        <w:t xml:space="preserve">naprawcza mogła </w:t>
      </w:r>
      <w:r w:rsidRPr="00C40BD9">
        <w:rPr>
          <w:sz w:val="20"/>
          <w:szCs w:val="20"/>
        </w:rPr>
        <w:lastRenderedPageBreak/>
        <w:t>być głęboko i mocno osadzona.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Jeżeli ze względu na formę rzeźbiarską nie jest</w:t>
      </w:r>
      <w:r>
        <w:rPr>
          <w:sz w:val="20"/>
          <w:szCs w:val="20"/>
        </w:rPr>
        <w:t xml:space="preserve"> </w:t>
      </w:r>
      <w:r w:rsidRPr="00C40BD9">
        <w:rPr>
          <w:sz w:val="20"/>
          <w:szCs w:val="20"/>
        </w:rPr>
        <w:t>możliwe opisane powyżej wykuwanie, należy przynajmniej zapewnić, aby na krawędziach ubytku</w:t>
      </w:r>
      <w:r>
        <w:rPr>
          <w:sz w:val="20"/>
          <w:szCs w:val="20"/>
        </w:rPr>
        <w:t xml:space="preserve"> </w:t>
      </w:r>
      <w:r w:rsidRPr="00C40BD9">
        <w:rPr>
          <w:sz w:val="20"/>
          <w:szCs w:val="20"/>
        </w:rPr>
        <w:t>zaprawa miała boczne oparcie (bez ściągnięcia do zera).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Obecny na powierzchniach pył z kamienia należy starannie usunąć sprężonym powietrzem lub czystą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wodą i szczotką.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Zaprawa naprawcza może być nakładana tylko na wilgotne powierzchnie. Dlatego wymaga się</w:t>
      </w:r>
    </w:p>
    <w:p w:rsidR="00BB595A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odpowiedniego zwilżania wstępnego. Nadmiar wody należy usunąć za pomocą gąbki.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</w:p>
    <w:p w:rsidR="00BB595A" w:rsidRPr="00C40BD9" w:rsidRDefault="00BB595A" w:rsidP="00BB595A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</w:t>
      </w:r>
      <w:r w:rsidRPr="00C40BD9">
        <w:rPr>
          <w:b/>
          <w:bCs/>
          <w:sz w:val="20"/>
          <w:szCs w:val="20"/>
        </w:rPr>
        <w:t>Przygotowanie materiałów</w:t>
      </w:r>
    </w:p>
    <w:p w:rsidR="00BB595A" w:rsidRPr="00C40BD9" w:rsidRDefault="00BB595A" w:rsidP="00BB595A">
      <w:pPr>
        <w:pStyle w:val="Default"/>
        <w:rPr>
          <w:b/>
          <w:bCs/>
          <w:sz w:val="20"/>
          <w:szCs w:val="20"/>
        </w:rPr>
      </w:pPr>
    </w:p>
    <w:p w:rsidR="00BB595A" w:rsidRPr="00C40BD9" w:rsidRDefault="00BB595A" w:rsidP="00BB595A">
      <w:pPr>
        <w:pStyle w:val="Default"/>
        <w:rPr>
          <w:rStyle w:val="FontStyle16"/>
          <w:i/>
          <w:sz w:val="20"/>
          <w:szCs w:val="20"/>
        </w:rPr>
      </w:pPr>
      <w:r w:rsidRPr="00C40BD9">
        <w:rPr>
          <w:bCs/>
          <w:i/>
          <w:sz w:val="20"/>
          <w:szCs w:val="20"/>
        </w:rPr>
        <w:t>Obrzutka</w:t>
      </w:r>
    </w:p>
    <w:p w:rsidR="00BB595A" w:rsidRDefault="00BB595A" w:rsidP="00BB595A">
      <w:pPr>
        <w:pStyle w:val="Style4"/>
        <w:widowControl/>
        <w:spacing w:line="235" w:lineRule="exact"/>
        <w:jc w:val="both"/>
        <w:rPr>
          <w:rStyle w:val="FontStyle16"/>
          <w:sz w:val="20"/>
          <w:szCs w:val="20"/>
        </w:rPr>
      </w:pPr>
      <w:r w:rsidRPr="00C40BD9">
        <w:rPr>
          <w:rStyle w:val="FontStyle16"/>
          <w:sz w:val="20"/>
          <w:szCs w:val="20"/>
        </w:rPr>
        <w:t xml:space="preserve">Zawartość worka wsypać do ok. </w:t>
      </w:r>
      <w:smartTag w:uri="urn:schemas-microsoft-com:office:smarttags" w:element="metricconverter">
        <w:smartTagPr>
          <w:attr w:name="ProductID" w:val="6,5 litra"/>
        </w:smartTagPr>
        <w:r w:rsidRPr="00C40BD9">
          <w:rPr>
            <w:rStyle w:val="FontStyle16"/>
            <w:sz w:val="20"/>
            <w:szCs w:val="20"/>
          </w:rPr>
          <w:t>6,5 litra</w:t>
        </w:r>
      </w:smartTag>
      <w:r w:rsidRPr="00C40BD9">
        <w:rPr>
          <w:rStyle w:val="FontStyle16"/>
          <w:sz w:val="20"/>
          <w:szCs w:val="20"/>
        </w:rPr>
        <w:t xml:space="preserve"> czystej wody i mieszać mieszadłem wolnoobrotowym, aż do powstania jednolitej, homogenicznej masy bez grudek i zbryleń. Obrzutkę można też przygotowywać w betoniarkach o wymuszonym mieszaniu. Czas mieszania nie powinien być krótszy niż 5 min. Podana ilość wody potrzebna do zarobienia masy tynkarskiej jest wartością szacunkową, którą można odpowiednio zmieniać, zależnie od żądanej konsystencji masy tynkarskiej. Należy przygotować taka ilość materiału, którą można zużyć w ciągu czasu obróbki </w:t>
      </w:r>
    </w:p>
    <w:p w:rsidR="00BB595A" w:rsidRPr="00C40BD9" w:rsidRDefault="00BB595A" w:rsidP="00BB595A">
      <w:pPr>
        <w:pStyle w:val="Style4"/>
        <w:widowControl/>
        <w:spacing w:line="235" w:lineRule="exact"/>
        <w:jc w:val="both"/>
        <w:rPr>
          <w:rStyle w:val="FontStyle16"/>
          <w:sz w:val="20"/>
          <w:szCs w:val="20"/>
        </w:rPr>
      </w:pPr>
    </w:p>
    <w:p w:rsidR="00BB595A" w:rsidRPr="00C40BD9" w:rsidRDefault="00BB595A" w:rsidP="00BB595A">
      <w:pPr>
        <w:pStyle w:val="Style4"/>
        <w:widowControl/>
        <w:spacing w:line="235" w:lineRule="exact"/>
        <w:rPr>
          <w:rStyle w:val="FontStyle16"/>
          <w:i/>
          <w:sz w:val="20"/>
          <w:szCs w:val="20"/>
        </w:rPr>
      </w:pPr>
      <w:r w:rsidRPr="00C40BD9">
        <w:rPr>
          <w:rStyle w:val="FontStyle16"/>
          <w:i/>
          <w:sz w:val="20"/>
          <w:szCs w:val="20"/>
        </w:rPr>
        <w:t xml:space="preserve">Zaprawa naprawcza </w:t>
      </w:r>
    </w:p>
    <w:p w:rsidR="00BB595A" w:rsidRPr="00C40BD9" w:rsidRDefault="00BB595A" w:rsidP="00BB595A">
      <w:pPr>
        <w:pStyle w:val="Style4"/>
        <w:spacing w:line="235" w:lineRule="exact"/>
        <w:jc w:val="both"/>
        <w:rPr>
          <w:rStyle w:val="FontStyle16"/>
          <w:sz w:val="20"/>
          <w:szCs w:val="20"/>
        </w:rPr>
      </w:pPr>
      <w:r w:rsidRPr="00C40BD9">
        <w:rPr>
          <w:rStyle w:val="FontStyle16"/>
          <w:sz w:val="20"/>
          <w:szCs w:val="20"/>
        </w:rPr>
        <w:t>Materiał wymieszać z wodą, ok. 4 L na 30 kg. Przy większych ilościach stosować mieszadło</w:t>
      </w:r>
    </w:p>
    <w:p w:rsidR="00BB595A" w:rsidRPr="00C40BD9" w:rsidRDefault="00BB595A" w:rsidP="00BB595A">
      <w:pPr>
        <w:pStyle w:val="Style4"/>
        <w:spacing w:line="235" w:lineRule="exact"/>
        <w:jc w:val="both"/>
        <w:rPr>
          <w:rStyle w:val="FontStyle16"/>
          <w:sz w:val="20"/>
          <w:szCs w:val="20"/>
        </w:rPr>
      </w:pPr>
      <w:r w:rsidRPr="00C40BD9">
        <w:rPr>
          <w:rStyle w:val="FontStyle16"/>
          <w:sz w:val="20"/>
          <w:szCs w:val="20"/>
        </w:rPr>
        <w:t>lub betoniarkę przeciwbieżną. Po okresie dojrzewania wynoszącym 5 min. zaprawa powinna posiadać</w:t>
      </w:r>
    </w:p>
    <w:p w:rsidR="00BB595A" w:rsidRPr="00C40BD9" w:rsidRDefault="00BB595A" w:rsidP="00BB595A">
      <w:pPr>
        <w:pStyle w:val="Style4"/>
        <w:widowControl/>
        <w:spacing w:line="235" w:lineRule="exact"/>
        <w:jc w:val="both"/>
        <w:rPr>
          <w:rStyle w:val="FontStyle16"/>
          <w:sz w:val="20"/>
          <w:szCs w:val="20"/>
        </w:rPr>
      </w:pPr>
      <w:r w:rsidRPr="00C40BD9">
        <w:rPr>
          <w:rStyle w:val="FontStyle16"/>
          <w:sz w:val="20"/>
          <w:szCs w:val="20"/>
        </w:rPr>
        <w:t>konsystencję wilgotnej ziemi.</w:t>
      </w:r>
    </w:p>
    <w:p w:rsidR="00BB595A" w:rsidRPr="00C40BD9" w:rsidRDefault="00BB595A" w:rsidP="00BB595A">
      <w:pPr>
        <w:pStyle w:val="Style4"/>
        <w:widowControl/>
        <w:spacing w:line="235" w:lineRule="exact"/>
        <w:jc w:val="both"/>
        <w:rPr>
          <w:rStyle w:val="FontStyle16"/>
          <w:sz w:val="20"/>
          <w:szCs w:val="20"/>
        </w:rPr>
      </w:pPr>
    </w:p>
    <w:p w:rsidR="00BB595A" w:rsidRPr="007B38F7" w:rsidRDefault="00BB595A" w:rsidP="00BB595A">
      <w:pPr>
        <w:widowControl w:val="0"/>
        <w:autoSpaceDE w:val="0"/>
        <w:autoSpaceDN w:val="0"/>
        <w:adjustRightInd w:val="0"/>
        <w:spacing w:before="57" w:after="57"/>
        <w:jc w:val="both"/>
        <w:rPr>
          <w:rFonts w:ascii="Arial" w:hAnsi="Arial" w:cs="Arial"/>
          <w:b/>
          <w:sz w:val="20"/>
          <w:szCs w:val="20"/>
        </w:rPr>
      </w:pPr>
      <w:r w:rsidRPr="007B38F7">
        <w:rPr>
          <w:rStyle w:val="FontStyle16"/>
          <w:b/>
          <w:sz w:val="20"/>
          <w:szCs w:val="20"/>
        </w:rPr>
        <w:t xml:space="preserve">3. </w:t>
      </w:r>
      <w:r w:rsidRPr="007B38F7">
        <w:rPr>
          <w:rFonts w:ascii="Arial" w:hAnsi="Arial" w:cs="Arial"/>
          <w:b/>
          <w:sz w:val="20"/>
          <w:szCs w:val="20"/>
        </w:rPr>
        <w:t xml:space="preserve">Wykonywanie prac 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 xml:space="preserve">Dojrzałą zaprawę nanosić (wcisnąć) np. za pomocą kielni na wcześniej </w:t>
      </w:r>
      <w:proofErr w:type="spellStart"/>
      <w:r w:rsidRPr="00C40BD9">
        <w:rPr>
          <w:sz w:val="20"/>
          <w:szCs w:val="20"/>
        </w:rPr>
        <w:t>uszorstnione</w:t>
      </w:r>
      <w:proofErr w:type="spellEnd"/>
      <w:r w:rsidRPr="00C40BD9">
        <w:rPr>
          <w:sz w:val="20"/>
          <w:szCs w:val="20"/>
        </w:rPr>
        <w:t xml:space="preserve"> i zwilżone miejscowe uszkodzenie. Maks. grubość warstwy powinna wynosić 3 cm. Warstwa końcowa powinna leżeć przynajmniej 2 mm wyżej niż powierzchnia oryginalna, aby umożliwić dalsze konieczne prace.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Już podczas wiązania materiału, po 2 - 4 godzinach, materiał może być wyrównywany z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oryginalną powierzchnią kamienia za pomocą szpachelki, noża wygładzającego, brzeszczotu piły,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dłutem lub za pomocą innych narzędzi. Możliwe jest także szlifowanie tarczą kamieniarską.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  <w:r w:rsidRPr="00C40BD9">
        <w:rPr>
          <w:sz w:val="20"/>
          <w:szCs w:val="20"/>
        </w:rPr>
        <w:t>Obróbka kamieniarska możliwa jest najwcześniej po 8 dniach. Świeżo położoną zaprawę chronić przed działaniem słońca, wiatru i deszczu.</w:t>
      </w:r>
    </w:p>
    <w:p w:rsidR="00BB595A" w:rsidRPr="00C40BD9" w:rsidRDefault="00BB595A" w:rsidP="00BB595A">
      <w:pPr>
        <w:pStyle w:val="Default"/>
        <w:jc w:val="both"/>
        <w:rPr>
          <w:sz w:val="20"/>
          <w:szCs w:val="20"/>
        </w:rPr>
      </w:pPr>
    </w:p>
    <w:p w:rsidR="00BB595A" w:rsidRPr="00C40BD9" w:rsidRDefault="00BB595A" w:rsidP="00BB595A">
      <w:pPr>
        <w:widowControl w:val="0"/>
        <w:autoSpaceDE w:val="0"/>
        <w:autoSpaceDN w:val="0"/>
        <w:adjustRightInd w:val="0"/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Pr="00C40BD9">
        <w:rPr>
          <w:rFonts w:ascii="Arial" w:hAnsi="Arial" w:cs="Arial"/>
          <w:b/>
          <w:sz w:val="20"/>
          <w:szCs w:val="20"/>
        </w:rPr>
        <w:t xml:space="preserve">Pielęgnacja </w:t>
      </w:r>
    </w:p>
    <w:p w:rsidR="00BB595A" w:rsidRPr="00C40BD9" w:rsidRDefault="00BB595A" w:rsidP="00BB595A">
      <w:pPr>
        <w:pStyle w:val="Style4"/>
        <w:widowControl/>
        <w:spacing w:line="235" w:lineRule="exact"/>
        <w:jc w:val="both"/>
        <w:rPr>
          <w:rStyle w:val="FontStyle22"/>
          <w:sz w:val="20"/>
          <w:szCs w:val="20"/>
        </w:rPr>
      </w:pPr>
      <w:r w:rsidRPr="00C40BD9">
        <w:rPr>
          <w:rStyle w:val="FontStyle22"/>
          <w:sz w:val="20"/>
          <w:szCs w:val="20"/>
        </w:rPr>
        <w:t>Ś</w:t>
      </w:r>
      <w:r w:rsidRPr="00C40BD9">
        <w:rPr>
          <w:rStyle w:val="FontStyle26"/>
          <w:sz w:val="20"/>
          <w:szCs w:val="20"/>
        </w:rPr>
        <w:t>wie</w:t>
      </w:r>
      <w:r w:rsidRPr="00C40BD9">
        <w:rPr>
          <w:rStyle w:val="FontStyle22"/>
          <w:sz w:val="20"/>
          <w:szCs w:val="20"/>
        </w:rPr>
        <w:t>ż</w:t>
      </w:r>
      <w:r w:rsidRPr="00C40BD9">
        <w:rPr>
          <w:rStyle w:val="FontStyle26"/>
          <w:sz w:val="20"/>
          <w:szCs w:val="20"/>
        </w:rPr>
        <w:t>o naniesiony zaprawę nale</w:t>
      </w:r>
      <w:r w:rsidRPr="00C40BD9">
        <w:rPr>
          <w:rStyle w:val="FontStyle22"/>
          <w:sz w:val="20"/>
          <w:szCs w:val="20"/>
        </w:rPr>
        <w:t>ż</w:t>
      </w:r>
      <w:r w:rsidRPr="00C40BD9">
        <w:rPr>
          <w:rStyle w:val="FontStyle26"/>
          <w:sz w:val="20"/>
          <w:szCs w:val="20"/>
        </w:rPr>
        <w:t>y chroni</w:t>
      </w:r>
      <w:r w:rsidRPr="00C40BD9">
        <w:rPr>
          <w:rStyle w:val="FontStyle22"/>
          <w:sz w:val="20"/>
          <w:szCs w:val="20"/>
        </w:rPr>
        <w:t xml:space="preserve">ć </w:t>
      </w:r>
      <w:r w:rsidRPr="00C40BD9">
        <w:rPr>
          <w:rStyle w:val="FontStyle26"/>
          <w:sz w:val="20"/>
          <w:szCs w:val="20"/>
        </w:rPr>
        <w:t>przed zbyt szybk</w:t>
      </w:r>
      <w:r w:rsidRPr="00C40BD9">
        <w:rPr>
          <w:rStyle w:val="FontStyle22"/>
          <w:sz w:val="20"/>
          <w:szCs w:val="20"/>
        </w:rPr>
        <w:t xml:space="preserve">ą </w:t>
      </w:r>
      <w:r w:rsidRPr="00C40BD9">
        <w:rPr>
          <w:rStyle w:val="FontStyle26"/>
          <w:sz w:val="20"/>
          <w:szCs w:val="20"/>
        </w:rPr>
        <w:t>utrat</w:t>
      </w:r>
      <w:r w:rsidRPr="00C40BD9">
        <w:rPr>
          <w:rStyle w:val="FontStyle22"/>
          <w:sz w:val="20"/>
          <w:szCs w:val="20"/>
        </w:rPr>
        <w:t xml:space="preserve">ą </w:t>
      </w:r>
      <w:r w:rsidRPr="00C40BD9">
        <w:rPr>
          <w:rStyle w:val="FontStyle26"/>
          <w:sz w:val="20"/>
          <w:szCs w:val="20"/>
        </w:rPr>
        <w:t>wody (s</w:t>
      </w:r>
      <w:r w:rsidRPr="00C40BD9">
        <w:rPr>
          <w:rStyle w:val="FontStyle22"/>
          <w:sz w:val="20"/>
          <w:szCs w:val="20"/>
        </w:rPr>
        <w:t>ł</w:t>
      </w:r>
      <w:r w:rsidRPr="00C40BD9">
        <w:rPr>
          <w:rStyle w:val="FontStyle26"/>
          <w:sz w:val="20"/>
          <w:szCs w:val="20"/>
        </w:rPr>
        <w:t>o</w:t>
      </w:r>
      <w:r w:rsidRPr="00C40BD9">
        <w:rPr>
          <w:rStyle w:val="FontStyle22"/>
          <w:sz w:val="20"/>
          <w:szCs w:val="20"/>
        </w:rPr>
        <w:t>ń</w:t>
      </w:r>
      <w:r w:rsidRPr="00C40BD9">
        <w:rPr>
          <w:rStyle w:val="FontStyle26"/>
          <w:sz w:val="20"/>
          <w:szCs w:val="20"/>
        </w:rPr>
        <w:t xml:space="preserve">ce, wiatr, wysokie temperatury) np. przez osłonięcie siatkami. W przypadku </w:t>
      </w:r>
      <w:r w:rsidRPr="00C40BD9">
        <w:rPr>
          <w:rStyle w:val="FontStyle23"/>
          <w:sz w:val="20"/>
          <w:szCs w:val="20"/>
        </w:rPr>
        <w:t>zbyt szybkiego wysychania nale</w:t>
      </w:r>
      <w:r w:rsidRPr="00C40BD9">
        <w:rPr>
          <w:rStyle w:val="FontStyle22"/>
          <w:sz w:val="20"/>
          <w:szCs w:val="20"/>
        </w:rPr>
        <w:t>ż</w:t>
      </w:r>
      <w:r w:rsidRPr="00C40BD9">
        <w:rPr>
          <w:rStyle w:val="FontStyle23"/>
          <w:sz w:val="20"/>
          <w:szCs w:val="20"/>
        </w:rPr>
        <w:t>y powierzchni</w:t>
      </w:r>
      <w:r w:rsidRPr="00C40BD9">
        <w:rPr>
          <w:rStyle w:val="FontStyle22"/>
          <w:sz w:val="20"/>
          <w:szCs w:val="20"/>
        </w:rPr>
        <w:t xml:space="preserve">ę </w:t>
      </w:r>
      <w:r w:rsidRPr="00C40BD9">
        <w:rPr>
          <w:rStyle w:val="FontStyle23"/>
          <w:sz w:val="20"/>
          <w:szCs w:val="20"/>
        </w:rPr>
        <w:t xml:space="preserve">tynku ponownie zwilżyć. </w:t>
      </w:r>
      <w:r w:rsidRPr="00C40BD9">
        <w:rPr>
          <w:rStyle w:val="FontStyle22"/>
          <w:sz w:val="20"/>
          <w:szCs w:val="20"/>
        </w:rPr>
        <w:t>W pomieszczeniach piwnicznych należy zapewnić odpowiednie warunki wiązania i twardnienia tynku, tzn. temperaturę nie niższą niż +</w:t>
      </w:r>
      <w:smartTag w:uri="urn:schemas-microsoft-com:office:smarttags" w:element="metricconverter">
        <w:smartTagPr>
          <w:attr w:name="ProductID" w:val="50C"/>
        </w:smartTagPr>
        <w:r w:rsidRPr="00C40BD9">
          <w:rPr>
            <w:rStyle w:val="FontStyle22"/>
            <w:sz w:val="20"/>
            <w:szCs w:val="20"/>
          </w:rPr>
          <w:t>5</w:t>
        </w:r>
        <w:r w:rsidRPr="00C40BD9">
          <w:rPr>
            <w:rStyle w:val="FontStyle22"/>
            <w:sz w:val="20"/>
            <w:szCs w:val="20"/>
            <w:vertAlign w:val="superscript"/>
          </w:rPr>
          <w:t>0</w:t>
        </w:r>
        <w:r w:rsidRPr="00C40BD9">
          <w:rPr>
            <w:rStyle w:val="FontStyle22"/>
            <w:sz w:val="20"/>
            <w:szCs w:val="20"/>
          </w:rPr>
          <w:t>C</w:t>
        </w:r>
      </w:smartTag>
      <w:r w:rsidRPr="00C40BD9">
        <w:rPr>
          <w:rStyle w:val="FontStyle22"/>
          <w:sz w:val="20"/>
          <w:szCs w:val="20"/>
        </w:rPr>
        <w:t xml:space="preserve"> i wilgotność względną powietrza nie wyższą niż 60%.</w:t>
      </w:r>
    </w:p>
    <w:p w:rsidR="00BB595A" w:rsidRDefault="00BB595A" w:rsidP="00BB595A">
      <w:pPr>
        <w:pStyle w:val="Style4"/>
        <w:widowControl/>
        <w:spacing w:line="235" w:lineRule="exact"/>
        <w:jc w:val="both"/>
        <w:rPr>
          <w:rStyle w:val="FontStyle16"/>
          <w:b/>
          <w:sz w:val="20"/>
          <w:szCs w:val="20"/>
        </w:rPr>
      </w:pPr>
      <w:r w:rsidRPr="008816AC">
        <w:rPr>
          <w:rStyle w:val="FontStyle16"/>
          <w:b/>
          <w:sz w:val="20"/>
          <w:szCs w:val="20"/>
        </w:rPr>
        <w:t xml:space="preserve"> </w:t>
      </w:r>
    </w:p>
    <w:p w:rsidR="00BB595A" w:rsidRDefault="00BB595A" w:rsidP="00BB595A">
      <w:pPr>
        <w:spacing w:line="360" w:lineRule="auto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sz w:val="20"/>
        </w:rPr>
        <w:t>6.</w:t>
      </w:r>
      <w:r>
        <w:rPr>
          <w:rFonts w:ascii="Arial" w:hAnsi="Arial" w:cs="Arial"/>
          <w:b/>
          <w:sz w:val="20"/>
          <w:u w:val="single"/>
        </w:rPr>
        <w:t>KONTROLA JAKOŚCI</w:t>
      </w:r>
    </w:p>
    <w:p w:rsidR="00BB595A" w:rsidRDefault="00BB595A" w:rsidP="00BB595A">
      <w:pPr>
        <w:autoSpaceDE w:val="0"/>
        <w:spacing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6.1. Ogólne zasady kontroli</w:t>
      </w:r>
    </w:p>
    <w:p w:rsidR="00BB595A" w:rsidRDefault="00BB595A" w:rsidP="00BB595A">
      <w:pPr>
        <w:autoSpaceDE w:val="0"/>
        <w:spacing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Ogólne wymagania dotyczące kontroli jakości Robót podano w „Wymagania ogólne”.</w:t>
      </w:r>
    </w:p>
    <w:p w:rsidR="00BB595A" w:rsidRDefault="00BB595A" w:rsidP="00BB595A">
      <w:pPr>
        <w:autoSpaceDE w:val="0"/>
        <w:spacing w:line="36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6.2. Podstawowe zasady bhp przy robotach budowlanych</w:t>
      </w:r>
    </w:p>
    <w:p w:rsidR="00BB595A" w:rsidRPr="00791A78" w:rsidRDefault="00BB595A" w:rsidP="00BB595A">
      <w:pPr>
        <w:autoSpaceDE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Roboty budowlane powinien prowadzić kierownik o odpowiednich kwalifikacjach i doświadczeniu oraz zatrudniać robotników obeznanych z tego rodzaju robotami. Przez cały czas trwania robót należy pilnować, aby na plac budowy nie wchodziły osoby postronne. Teren robót należy ogrodzić i oznaczyć tablicami ostrzegawczymi. Wycinka drzew i karczowanie terenu winne być powierzone firmie posiadającej doświadczenie w tego rodzaju działalności. Prace powinny być prowadzone pod nadzorem osób uprawnionych.</w:t>
      </w:r>
    </w:p>
    <w:p w:rsidR="00BB595A" w:rsidRDefault="00BB595A" w:rsidP="00BB595A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lastRenderedPageBreak/>
        <w:t>7.</w:t>
      </w:r>
      <w:r>
        <w:rPr>
          <w:rFonts w:ascii="Arial" w:hAnsi="Arial" w:cs="Arial"/>
          <w:b/>
          <w:sz w:val="20"/>
          <w:u w:val="single"/>
        </w:rPr>
        <w:t>OBMIAR ROBÓT</w:t>
      </w:r>
    </w:p>
    <w:p w:rsidR="00BB595A" w:rsidRDefault="00BB595A" w:rsidP="00BB595A">
      <w:pPr>
        <w:autoSpaceDE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Ogólne wymagania dotyczące obmiaru Robót podano w „Wymagania ogólne”.</w:t>
      </w:r>
    </w:p>
    <w:p w:rsidR="00BB595A" w:rsidRDefault="00BB595A" w:rsidP="00BB595A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t>8.</w:t>
      </w:r>
      <w:r>
        <w:rPr>
          <w:rFonts w:ascii="Arial" w:hAnsi="Arial" w:cs="Arial"/>
          <w:b/>
          <w:sz w:val="20"/>
          <w:u w:val="single"/>
        </w:rPr>
        <w:t>ODBIÓR TECHNICZNY ROBÓT</w:t>
      </w:r>
    </w:p>
    <w:p w:rsidR="00BB595A" w:rsidRDefault="00BB595A" w:rsidP="00BB595A">
      <w:pPr>
        <w:autoSpaceDE w:val="0"/>
        <w:rPr>
          <w:rFonts w:ascii="Arial" w:hAnsi="Arial" w:cs="Arial"/>
          <w:sz w:val="20"/>
        </w:rPr>
      </w:pPr>
      <w:r>
        <w:rPr>
          <w:rFonts w:ascii="Arial" w:hAnsi="Arial" w:cs="Arial"/>
          <w:color w:val="000000"/>
          <w:sz w:val="20"/>
        </w:rPr>
        <w:t>Ogólne wymagania dotyczące odbioru Robót podano w „Wymagania ogólne”. Roboty wymienione w ST podlegają odbiorowi po ich ukończeniu, jednak przed zasypaniem rozkopów.</w:t>
      </w:r>
    </w:p>
    <w:p w:rsidR="00BB595A" w:rsidRDefault="00BB595A" w:rsidP="00BB595A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t>9.</w:t>
      </w:r>
      <w:r>
        <w:rPr>
          <w:rFonts w:ascii="Arial" w:hAnsi="Arial" w:cs="Arial"/>
          <w:b/>
          <w:sz w:val="20"/>
          <w:u w:val="single"/>
        </w:rPr>
        <w:t>PODSTAWA PŁATNOŚCI</w:t>
      </w:r>
    </w:p>
    <w:p w:rsidR="00BB595A" w:rsidRDefault="00BB595A" w:rsidP="00BB595A">
      <w:pPr>
        <w:autoSpaceDE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Ogólne wymagania dotyczące płatności podano w „Wymagania ogólne”.</w:t>
      </w:r>
    </w:p>
    <w:p w:rsidR="00BB595A" w:rsidRDefault="00BB595A" w:rsidP="00BB595A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t>10.</w:t>
      </w:r>
      <w:r>
        <w:rPr>
          <w:rFonts w:ascii="Arial" w:hAnsi="Arial" w:cs="Arial"/>
          <w:b/>
          <w:sz w:val="20"/>
          <w:u w:val="single"/>
        </w:rPr>
        <w:t>PRZEPISY ZWIĄZANE</w:t>
      </w:r>
    </w:p>
    <w:p w:rsidR="00BB595A" w:rsidRDefault="00BB595A" w:rsidP="00BB595A">
      <w:pPr>
        <w:numPr>
          <w:ilvl w:val="0"/>
          <w:numId w:val="3"/>
        </w:numPr>
        <w:suppressAutoHyphens/>
        <w:autoSpaceDE w:val="0"/>
        <w:spacing w:after="0"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Obwieszczenie Ministra Gospodarki, Pracy i Polityki Społecznej z dnia 28 sierpnia 2003 r. w sprawie ogłoszenia jednolitego tekstu rozporządzenia Ministra Pracy i Polityki Socjalnej w sprawie ogólnych przepisów bezpieczeństwa i higieny pracy (Dz.U. 2003 nr 169 poz. 1650)</w:t>
      </w:r>
    </w:p>
    <w:p w:rsidR="00BB595A" w:rsidRDefault="00BB595A" w:rsidP="00BB595A">
      <w:pPr>
        <w:autoSpaceDE w:val="0"/>
        <w:rPr>
          <w:rFonts w:ascii="Arial" w:hAnsi="Arial" w:cs="Arial"/>
          <w:color w:val="000000"/>
          <w:sz w:val="20"/>
        </w:rPr>
      </w:pPr>
    </w:p>
    <w:p w:rsidR="00BB595A" w:rsidRDefault="00BB595A" w:rsidP="00BB595A">
      <w:pPr>
        <w:numPr>
          <w:ilvl w:val="0"/>
          <w:numId w:val="3"/>
        </w:numPr>
        <w:suppressAutoHyphens/>
        <w:autoSpaceDE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color w:val="000000"/>
          <w:sz w:val="20"/>
        </w:rPr>
        <w:t>Rozporządzenie Ministra Infrastruktury z dnia 6 lutego 2003 r. w sprawie bezpieczeństwa i higieny pracy podczas wykonywania robót budowlanych Dz.U. 2003 nr 47 poz. 401</w:t>
      </w:r>
    </w:p>
    <w:p w:rsidR="00BB595A" w:rsidRDefault="00BB595A" w:rsidP="00BB595A">
      <w:pPr>
        <w:ind w:left="1800"/>
        <w:jc w:val="both"/>
        <w:rPr>
          <w:rFonts w:ascii="Arial" w:hAnsi="Arial" w:cs="Arial"/>
          <w:sz w:val="20"/>
        </w:rPr>
      </w:pPr>
    </w:p>
    <w:p w:rsidR="00BB595A" w:rsidRPr="00330343" w:rsidRDefault="00BB595A" w:rsidP="00BB595A">
      <w:pPr>
        <w:pStyle w:val="Style4"/>
        <w:widowControl/>
        <w:spacing w:line="235" w:lineRule="exact"/>
        <w:jc w:val="both"/>
        <w:rPr>
          <w:bCs/>
          <w:color w:val="000000"/>
          <w:sz w:val="20"/>
          <w:szCs w:val="20"/>
        </w:rPr>
      </w:pPr>
    </w:p>
    <w:p w:rsidR="0049011E" w:rsidRDefault="0049011E"/>
    <w:sectPr w:rsidR="0049011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17DB2">
      <w:pPr>
        <w:spacing w:after="0" w:line="240" w:lineRule="auto"/>
      </w:pPr>
      <w:r>
        <w:separator/>
      </w:r>
    </w:p>
  </w:endnote>
  <w:endnote w:type="continuationSeparator" w:id="0">
    <w:p w:rsidR="00000000" w:rsidRDefault="00617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253" w:rsidRDefault="00BB595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17DB2">
      <w:rPr>
        <w:noProof/>
      </w:rPr>
      <w:t>4</w:t>
    </w:r>
    <w:r>
      <w:fldChar w:fldCharType="end"/>
    </w:r>
  </w:p>
  <w:p w:rsidR="00DE6253" w:rsidRDefault="00617D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17DB2">
      <w:pPr>
        <w:spacing w:after="0" w:line="240" w:lineRule="auto"/>
      </w:pPr>
      <w:r>
        <w:separator/>
      </w:r>
    </w:p>
  </w:footnote>
  <w:footnote w:type="continuationSeparator" w:id="0">
    <w:p w:rsidR="00000000" w:rsidRDefault="00617D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7E4F96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/>
        <w:b w:val="0"/>
        <w:i w:val="0"/>
      </w:rPr>
    </w:lvl>
  </w:abstractNum>
  <w:abstractNum w:abstractNumId="2" w15:restartNumberingAfterBreak="0">
    <w:nsid w:val="05E96D36"/>
    <w:multiLevelType w:val="hybridMultilevel"/>
    <w:tmpl w:val="0DBC2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106"/>
        <w:lvlJc w:val="left"/>
        <w:rPr>
          <w:rFonts w:ascii="Arial" w:hAnsi="Arial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95A"/>
    <w:rsid w:val="0049011E"/>
    <w:rsid w:val="00617DB2"/>
    <w:rsid w:val="00BB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A120C2D"/>
  <w15:chartTrackingRefBased/>
  <w15:docId w15:val="{55F4EAE1-52B5-477B-91E0-5D2929908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595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BB5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CM26">
    <w:name w:val="CM26"/>
    <w:basedOn w:val="Default"/>
    <w:next w:val="Default"/>
    <w:uiPriority w:val="99"/>
    <w:rsid w:val="00BB595A"/>
    <w:pPr>
      <w:spacing w:after="63"/>
    </w:pPr>
    <w:rPr>
      <w:color w:val="auto"/>
    </w:rPr>
  </w:style>
  <w:style w:type="paragraph" w:customStyle="1" w:styleId="CM29">
    <w:name w:val="CM29"/>
    <w:basedOn w:val="Default"/>
    <w:next w:val="Default"/>
    <w:uiPriority w:val="99"/>
    <w:rsid w:val="00BB595A"/>
    <w:pPr>
      <w:spacing w:after="395"/>
    </w:pPr>
    <w:rPr>
      <w:color w:val="auto"/>
    </w:rPr>
  </w:style>
  <w:style w:type="paragraph" w:styleId="Tekstpodstawowywcity">
    <w:name w:val="Body Text Indent"/>
    <w:basedOn w:val="Normalny"/>
    <w:link w:val="TekstpodstawowywcityZnak"/>
    <w:uiPriority w:val="99"/>
    <w:rsid w:val="00BB595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B595A"/>
    <w:rPr>
      <w:rFonts w:ascii="Calibri" w:eastAsia="Times New Roman" w:hAnsi="Calibri" w:cs="Times New Roman"/>
      <w:lang w:eastAsia="pl-PL"/>
    </w:rPr>
  </w:style>
  <w:style w:type="paragraph" w:customStyle="1" w:styleId="Style7">
    <w:name w:val="Style7"/>
    <w:basedOn w:val="Normalny"/>
    <w:uiPriority w:val="99"/>
    <w:rsid w:val="00BB595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rsid w:val="00BB595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1">
    <w:name w:val="Font Style21"/>
    <w:basedOn w:val="Domylnaczcionkaakapitu"/>
    <w:uiPriority w:val="99"/>
    <w:rsid w:val="00BB595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BB595A"/>
    <w:rPr>
      <w:rFonts w:ascii="Arial" w:hAnsi="Arial" w:cs="Arial"/>
      <w:color w:val="000000"/>
      <w:sz w:val="18"/>
      <w:szCs w:val="18"/>
    </w:rPr>
  </w:style>
  <w:style w:type="character" w:customStyle="1" w:styleId="FontStyle14">
    <w:name w:val="Font Style14"/>
    <w:basedOn w:val="Domylnaczcionkaakapitu"/>
    <w:uiPriority w:val="99"/>
    <w:rsid w:val="00BB595A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6">
    <w:name w:val="Font Style16"/>
    <w:basedOn w:val="Domylnaczcionkaakapitu"/>
    <w:uiPriority w:val="99"/>
    <w:rsid w:val="00BB595A"/>
    <w:rPr>
      <w:rFonts w:ascii="Arial" w:hAnsi="Arial" w:cs="Arial"/>
      <w:color w:val="000000"/>
      <w:sz w:val="18"/>
      <w:szCs w:val="18"/>
    </w:rPr>
  </w:style>
  <w:style w:type="character" w:customStyle="1" w:styleId="FontStyle26">
    <w:name w:val="Font Style26"/>
    <w:basedOn w:val="Domylnaczcionkaakapitu"/>
    <w:uiPriority w:val="99"/>
    <w:rsid w:val="00BB595A"/>
    <w:rPr>
      <w:rFonts w:ascii="Arial" w:hAnsi="Arial" w:cs="Arial"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BB595A"/>
    <w:pPr>
      <w:widowControl w:val="0"/>
      <w:autoSpaceDE w:val="0"/>
      <w:autoSpaceDN w:val="0"/>
      <w:adjustRightInd w:val="0"/>
      <w:spacing w:after="0" w:line="238" w:lineRule="exact"/>
    </w:pPr>
    <w:rPr>
      <w:rFonts w:ascii="Bookman Old Style" w:hAnsi="Bookman Old Style"/>
      <w:sz w:val="24"/>
      <w:szCs w:val="24"/>
    </w:rPr>
  </w:style>
  <w:style w:type="character" w:customStyle="1" w:styleId="FontStyle23">
    <w:name w:val="Font Style23"/>
    <w:basedOn w:val="Domylnaczcionkaakapitu"/>
    <w:uiPriority w:val="99"/>
    <w:rsid w:val="00BB595A"/>
    <w:rPr>
      <w:rFonts w:ascii="Arial" w:hAnsi="Arial" w:cs="Arial"/>
      <w:color w:val="000000"/>
      <w:sz w:val="18"/>
      <w:szCs w:val="18"/>
    </w:rPr>
  </w:style>
  <w:style w:type="paragraph" w:styleId="Bezodstpw">
    <w:name w:val="No Spacing"/>
    <w:uiPriority w:val="1"/>
    <w:qFormat/>
    <w:rsid w:val="00BB595A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BB59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595A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1262</Words>
  <Characters>7575</Characters>
  <Application>Microsoft Office Word</Application>
  <DocSecurity>0</DocSecurity>
  <Lines>63</Lines>
  <Paragraphs>17</Paragraphs>
  <ScaleCrop>false</ScaleCrop>
  <Company/>
  <LinksUpToDate>false</LinksUpToDate>
  <CharactersWithSpaces>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Waz</dc:creator>
  <cp:keywords/>
  <dc:description/>
  <cp:lastModifiedBy>Monika Waz</cp:lastModifiedBy>
  <cp:revision>2</cp:revision>
  <dcterms:created xsi:type="dcterms:W3CDTF">2017-09-06T14:47:00Z</dcterms:created>
  <dcterms:modified xsi:type="dcterms:W3CDTF">2017-09-19T13:48:00Z</dcterms:modified>
</cp:coreProperties>
</file>